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A9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关于转发《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天津市哲学社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会科学规划项目“深学深用习近平文化思想 推动文化传承发展善作善成”专项课题</w:t>
      </w:r>
    </w:p>
    <w:p w14:paraId="3DA3E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“揭榜挂帅”招标公告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》的通知</w:t>
      </w:r>
    </w:p>
    <w:p w14:paraId="416B3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各学院（部）、相关处室：</w:t>
      </w:r>
    </w:p>
    <w:p w14:paraId="710F1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中共天津市委宣传部设立天津市哲学社会科学规划项目“深学深用习近平文化思想，推动文化传承发展善作善成”专项课题，面向全国“揭榜挂帅”进行招标。现将有关事项公告如下：</w:t>
      </w:r>
    </w:p>
    <w:p w14:paraId="5B1A5E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一、招标单位</w:t>
      </w:r>
    </w:p>
    <w:p w14:paraId="321B7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中共天津市委宣传部</w:t>
      </w:r>
    </w:p>
    <w:p w14:paraId="6F5E2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二、招标主题</w:t>
      </w:r>
    </w:p>
    <w:p w14:paraId="36090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深学深用习近平文化思想，推动文化传承发展善作善成</w:t>
      </w:r>
    </w:p>
    <w:p w14:paraId="63FE7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三、项目宗旨</w:t>
      </w:r>
    </w:p>
    <w:p w14:paraId="6C1DF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坚持以习近平新时代中国特色社会主义思想为指导，以习近平文化思想为引领，深入学习贯彻党的二十大和二十届三中全会精神，深化对习近平总书记视察天津重要讲话精神研究阐释，聚焦深学深用习近平文化思想，推动文化传承发展善作善成这一主题，将理论创新、学术研究、实践总结贯通起来，推出具有学术创新价值、决策参考价值、实践指导价值的高水平成果，为天津深化文化体制改革、加快建设文化强市提供学理支撑和智力支持。</w:t>
      </w:r>
    </w:p>
    <w:p w14:paraId="34A06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/>
        </w:rPr>
        <w:t>　　</w:t>
      </w:r>
      <w:r>
        <w:rPr>
          <w:rFonts w:hint="eastAsia" w:ascii="黑体" w:hAnsi="黑体" w:eastAsia="黑体" w:cs="黑体"/>
          <w:sz w:val="28"/>
          <w:szCs w:val="28"/>
        </w:rPr>
        <w:t>四、选题方向</w:t>
      </w:r>
    </w:p>
    <w:p w14:paraId="20000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投标人按照招标选题方向（包括但不限于）自拟题目投标，选题表述要符合项目定位，科学严谨、简明规范，避免引起歧义或争议。投标人要熟悉了解相关领域前沿研究动态，紧密结合天津实际开展论证和研究。</w:t>
      </w:r>
    </w:p>
    <w:p w14:paraId="7329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（一）以习近平文化思想为指导，推动文化传承发展善作善成研究。</w:t>
      </w:r>
      <w:r>
        <w:rPr>
          <w:rFonts w:hint="eastAsia" w:ascii="仿宋_GB2312" w:hAnsi="仿宋_GB2312" w:eastAsia="仿宋_GB2312" w:cs="仿宋_GB2312"/>
          <w:sz w:val="28"/>
          <w:szCs w:val="28"/>
        </w:rPr>
        <w:t>立足习近平文化思想作为不断展开的开放式的思想体系，侧重以“两个结合”特别是“第二个结合”等维度，加强以文化人、以文惠民、以文润城、以文兴业丰富内涵、实践要求、相互关系等学理性研究。</w:t>
      </w:r>
    </w:p>
    <w:p w14:paraId="5895A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（二）以习近平文化思想为指导，健全以文化人制度机制研究。</w:t>
      </w:r>
      <w:r>
        <w:rPr>
          <w:rFonts w:hint="eastAsia" w:ascii="仿宋_GB2312" w:hAnsi="仿宋_GB2312" w:eastAsia="仿宋_GB2312" w:cs="仿宋_GB2312"/>
          <w:sz w:val="28"/>
          <w:szCs w:val="28"/>
        </w:rPr>
        <w:t>侧重在健全用党的创新理论武装全党、教育人民、指导实践工作体系，完善培育和践行社会主义核心价值观制度机制，推动大中小学思想政治教育一体化建设，改进创新文明培育、文明实践、文明创建工作机制，完善志愿服务和诚信建设长效机制，构建适应全媒体生产传播工作机制和评价体系等方面。</w:t>
      </w:r>
    </w:p>
    <w:p w14:paraId="4F6EF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（三）以习近平文化思想为指导，完善以文惠民供给方式研究。</w:t>
      </w:r>
      <w:r>
        <w:rPr>
          <w:rFonts w:hint="eastAsia" w:ascii="仿宋_GB2312" w:hAnsi="仿宋_GB2312" w:eastAsia="仿宋_GB2312" w:cs="仿宋_GB2312"/>
          <w:sz w:val="28"/>
          <w:szCs w:val="28"/>
        </w:rPr>
        <w:t>侧重在打造津派文化品牌，健全现代公共文化服务体系、提升公共文化服务效能，创新实施文化惠民工程，建立优质文化资源直达基层机制、促进优质公共文化资源配置均衡等方面。</w:t>
      </w:r>
    </w:p>
    <w:p w14:paraId="5CAA3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（四）以习近平文化思想为指导，优化以文润城品牌模式研究。</w:t>
      </w:r>
      <w:r>
        <w:rPr>
          <w:rFonts w:hint="eastAsia" w:ascii="仿宋_GB2312" w:hAnsi="仿宋_GB2312" w:eastAsia="仿宋_GB2312" w:cs="仿宋_GB2312"/>
          <w:sz w:val="28"/>
          <w:szCs w:val="28"/>
        </w:rPr>
        <w:t>侧重在天津地域文化形态保护传承、创新发展，加强历史文化遗产保护传承和活化利用，城市红色文化资源挖掘、保护、利用，完善非遗代表性项目和传承人保护体系，健全文化遗产保护投入保障机制等方面。</w:t>
      </w:r>
    </w:p>
    <w:p w14:paraId="75AC6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（五）以习近平文化思想为指导，创新以文兴业体系业态研究。</w:t>
      </w:r>
      <w:r>
        <w:rPr>
          <w:rFonts w:hint="eastAsia" w:ascii="仿宋_GB2312" w:hAnsi="仿宋_GB2312" w:eastAsia="仿宋_GB2312" w:cs="仿宋_GB2312"/>
          <w:sz w:val="28"/>
          <w:szCs w:val="28"/>
        </w:rPr>
        <w:t>侧重在健全文化产业体系和市场体系，推进文化和科技融合、加快发展新型文化业态和文化消费模式，推动文旅商贸深度融合，深化文化领域国资国企改革、增强国有文化企业核心竞争力等方面。</w:t>
      </w:r>
    </w:p>
    <w:p w14:paraId="5E036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五、资助方式</w:t>
      </w:r>
    </w:p>
    <w:p w14:paraId="6053A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1.中标课题列为2024年度天津市哲学社会科学规划重点项目。</w:t>
      </w:r>
    </w:p>
    <w:p w14:paraId="61BAD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2.根据投标情况，评审确定立项数量。每项中标课题资助经费5万元。</w:t>
      </w:r>
    </w:p>
    <w:p w14:paraId="38D82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六、投标资格要求</w:t>
      </w:r>
    </w:p>
    <w:p w14:paraId="138C1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（一）投标人须具备下列条件</w:t>
      </w:r>
    </w:p>
    <w:p w14:paraId="042F5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1.投标人不限定范围，鼓励理论研究单位与实际工作部门开展合作研究，鼓励多学科交叉研究。</w:t>
      </w:r>
    </w:p>
    <w:p w14:paraId="56E05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2.投标人须遵守中华人民共和国宪法和法律，拥护党的路线方针政策；在相关领域具有较好研究基础和研究专长，社会责任感强，学风优良，遵守有关管理规定，无不良科研信用记录。</w:t>
      </w:r>
    </w:p>
    <w:p w14:paraId="012B4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3.投标人只能为一人，立项后作为项目研究的负责人，担负实质性研究任务。</w:t>
      </w:r>
    </w:p>
    <w:p w14:paraId="19577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4.投标须经所在单位批准同意。</w:t>
      </w:r>
    </w:p>
    <w:p w14:paraId="3F4AD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28"/>
          <w:szCs w:val="28"/>
        </w:rPr>
        <w:t>）投标纪律要求</w:t>
      </w:r>
    </w:p>
    <w:p w14:paraId="757F8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1.投标人所在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sz w:val="28"/>
          <w:szCs w:val="28"/>
        </w:rPr>
        <w:t>要对投标人是否具备投标条件加强审核把关，切实把好政治方向，严格审核投标人申报材料的真实性。</w:t>
      </w:r>
    </w:p>
    <w:p w14:paraId="57181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投标人要自觉坚持公平竞争的原则，凡有弄虚作假、抄袭剽窃、违规违纪等行为的，一经查实，即取消参评资格；如获中标，一律撤项，五年内不得申报天津市哲学社会科学规划各类课题，并通报给有关省区市社科工作办及所在单位。</w:t>
      </w:r>
    </w:p>
    <w:p w14:paraId="0594C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3.投标人须按照中共中央办公厅、国务院办公厅印发的《关于进一步加强科研诚信建设的若干意见》要求，如实填写材料。不得将待发表或已发表的成果作为本课题的研究成果，保证无知识产权争议。</w:t>
      </w:r>
    </w:p>
    <w:p w14:paraId="6CDDC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4.凡在申报内容上与在研或已结项的各级各类课题有较大关联的，须在《投标书》中详细说明本次投标课题与已承担课题的联系和区别，否则视为重复申请，不予受理。</w:t>
      </w:r>
    </w:p>
    <w:p w14:paraId="29DD7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5.所列课题组成员须征得其本人同意并签字确认，否则不予受理。中标后，课题组成员变更须经中共天津市委宣传部同意。</w:t>
      </w:r>
    </w:p>
    <w:p w14:paraId="4FEB8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6.中标后，要遵守相关承诺，履行约定义务，接受监督管理，按期高质量完成研究任务。</w:t>
      </w:r>
    </w:p>
    <w:p w14:paraId="1B670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7.课题研究成果全部知识产权归中共天津市委宣传部，未经批准，不得自行发表或用作其他用途。</w:t>
      </w:r>
    </w:p>
    <w:p w14:paraId="638CD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七、项目管理</w:t>
      </w:r>
    </w:p>
    <w:p w14:paraId="476FA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　　</w:t>
      </w:r>
      <w:r>
        <w:rPr>
          <w:rFonts w:hint="eastAsia" w:ascii="楷体_GB2312" w:hAnsi="楷体_GB2312" w:eastAsia="楷体_GB2312" w:cs="楷体_GB2312"/>
          <w:sz w:val="28"/>
          <w:szCs w:val="28"/>
        </w:rPr>
        <w:t>（一）成果要求</w:t>
      </w:r>
    </w:p>
    <w:p w14:paraId="4D1BE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1.投标人要树立鲜明的问题导向，创新研究思路、研究方法，力求理论观点和学术见解体现原创性和前瞻性，咨政建言和对策建议具有针对性和可操作性。</w:t>
      </w:r>
    </w:p>
    <w:p w14:paraId="6E5C2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2.投标人要坚持科学、严谨、求实、诚信的科研态度，做到逻辑清晰、论证严谨，结构合理、观点准确，案例真实、数据可靠，表达规范、结论客观。</w:t>
      </w:r>
    </w:p>
    <w:p w14:paraId="56DED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（二）进度安排</w:t>
      </w:r>
    </w:p>
    <w:p w14:paraId="365C0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1.立项之日起2个月内，中标人提交4000字研究报告提纲。该提纲须经课题组组织专家论证，并报中共天津市委宣传部审定。</w:t>
      </w:r>
    </w:p>
    <w:p w14:paraId="5F9C7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2.立项之日起5个月内，中标人提交一份4万字的研究报告和1000字的报告摘要。中共天津市委宣传部组织专家进行评审。</w:t>
      </w:r>
    </w:p>
    <w:p w14:paraId="7AF21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3.立项之日起6个月内，中标人将研究报告修改为书稿后提交。</w:t>
      </w:r>
    </w:p>
    <w:p w14:paraId="32910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4.市委宣传部组织各课题组开展专著编撰工作，具体要求另行安排。</w:t>
      </w:r>
    </w:p>
    <w:p w14:paraId="58226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　　</w:t>
      </w:r>
      <w:r>
        <w:rPr>
          <w:rFonts w:hint="eastAsia" w:ascii="楷体_GB2312" w:hAnsi="楷体_GB2312" w:eastAsia="楷体_GB2312" w:cs="楷体_GB2312"/>
          <w:sz w:val="28"/>
          <w:szCs w:val="28"/>
        </w:rPr>
        <w:t>（三）结项事宜</w:t>
      </w:r>
    </w:p>
    <w:p w14:paraId="1B70C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1.根据课题研究报告（含报告摘要）完成情况，结合专家评审意见，综合确定结项等级。结项等级分为“优秀”“良好”“合格”“不合格”4个等级。</w:t>
      </w:r>
    </w:p>
    <w:p w14:paraId="56BDD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2.在中共天津市委宣传部统一组织下，项目成果鉴定等级为“优秀”“良好”的课题组，须按照工作要求共同参与编撰出版主题理论专著。</w:t>
      </w:r>
    </w:p>
    <w:p w14:paraId="56F69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3.理论专著出版后，统一办理课题结项事宜。</w:t>
      </w:r>
    </w:p>
    <w:p w14:paraId="101A9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4.对有进一步研究价值的成果视情况可予以持续资助。</w:t>
      </w:r>
    </w:p>
    <w:p w14:paraId="32D56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/>
        </w:rPr>
        <w:t>　　</w:t>
      </w:r>
      <w:r>
        <w:rPr>
          <w:rFonts w:hint="eastAsia" w:ascii="楷体_GB2312" w:hAnsi="楷体_GB2312" w:eastAsia="楷体_GB2312" w:cs="楷体_GB2312"/>
          <w:sz w:val="28"/>
          <w:szCs w:val="28"/>
        </w:rPr>
        <w:t>（四）监督管理</w:t>
      </w:r>
    </w:p>
    <w:p w14:paraId="12DC5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1.中共天津市委宣传部对项目研究进行跟踪管理。课题负责人须按照有关要求，接受过程管理、阶段检查，按时高质量完成有关任务。</w:t>
      </w:r>
    </w:p>
    <w:p w14:paraId="6AF46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在课题研究过程中，对出现学术不端等违规违纪行为的，对检查不合格、不能按期完成研究任务、未达到研究预期目标的，即作撤项处理。情节严重的，课题负责人五年内不能申报天津市哲学社会科学规划各类课题，并通报给有关省区市社科工作办及所在单位。</w:t>
      </w:r>
    </w:p>
    <w:p w14:paraId="7E3BD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（五）经费管理</w:t>
      </w:r>
    </w:p>
    <w:p w14:paraId="2638B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1.课题经费分两次拨付，立项时拨付40%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专著出版后，鉴定等级为“优秀”“良好”“合格”的，拨付剩余经费。</w:t>
      </w:r>
    </w:p>
    <w:p w14:paraId="03D13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2.撤项和鉴定等级为“不合格”的，不再拨付剩余经费。同时，课题负责人应当在接到通知30日内，按要求将已拨资助经费的剩余部分退回中共天津市委宣传部。</w:t>
      </w:r>
    </w:p>
    <w:p w14:paraId="272EA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3.经费管理参照《国家社会科学基金项目资金管理办法》执行。结项等级为“优秀”的，间接费用比例可提高到60%；结项等级为“良好”的，间接费用比例可提高到50%。</w:t>
      </w:r>
    </w:p>
    <w:p w14:paraId="2A277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八、工作要求</w:t>
      </w:r>
    </w:p>
    <w:p w14:paraId="27086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/>
        </w:rPr>
        <w:t>　　</w:t>
      </w:r>
      <w:r>
        <w:rPr>
          <w:rFonts w:hint="eastAsia" w:ascii="楷体_GB2312" w:hAnsi="楷体_GB2312" w:eastAsia="楷体_GB2312" w:cs="楷体_GB2312"/>
          <w:sz w:val="28"/>
          <w:szCs w:val="28"/>
        </w:rPr>
        <w:t>（一）投标时间：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投标材料受理截止时间为2024年11月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28"/>
          <w:szCs w:val="28"/>
        </w:rPr>
        <w:t>日，逾期不予受理。</w:t>
      </w:r>
    </w:p>
    <w:p w14:paraId="3731F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/>
        </w:rPr>
        <w:t>　　</w:t>
      </w:r>
      <w:r>
        <w:rPr>
          <w:rFonts w:hint="eastAsia" w:ascii="楷体_GB2312" w:hAnsi="楷体_GB2312" w:eastAsia="楷体_GB2312" w:cs="楷体_GB2312"/>
          <w:sz w:val="28"/>
          <w:szCs w:val="28"/>
        </w:rPr>
        <w:t>（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28"/>
          <w:szCs w:val="28"/>
        </w:rPr>
        <w:t>）投标材料</w:t>
      </w:r>
    </w:p>
    <w:p w14:paraId="4AB9A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1.纸质材料。《天津市哲学社会科学规划项目“深学深用习近平文化思想 推动文化传承发展善作善成”专项课题投标书》（以下简称《投标书》）一式8份、《天津市哲学社会科学规划项目“深学深用习近平文化思想 推动文化传承发展善作善成”专项课题投标书活页》（以下简称《活页》）一式8份。</w:t>
      </w:r>
    </w:p>
    <w:p w14:paraId="3CC4E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2.电子材料。《投标书》和《活页》电子版（“投标书”命名为“投标人姓名+投标书”、“活页”命名为“投标人姓名+活页”）。</w:t>
      </w:r>
    </w:p>
    <w:p w14:paraId="5427B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3.纸质材料和电子材料的所有内容必须保持一致。电子材料请于11月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28"/>
          <w:szCs w:val="28"/>
        </w:rPr>
        <w:t>日前发至邮箱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tyky2015@126.com.</w:t>
      </w:r>
    </w:p>
    <w:p w14:paraId="0FCC9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4.《投标书》一律使用计算机填写，A3纸双面印制，中缝装订。</w:t>
      </w:r>
    </w:p>
    <w:p w14:paraId="3343C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附件：1.天津市哲学社会科学规划项目“深学深用习近平文化思想 推动文化传承发展善作善成”专项课题投标书     </w:t>
      </w:r>
    </w:p>
    <w:p w14:paraId="154D9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2.天津市哲学社会科学规划项目“深学深用习近平文化思想 推动文化传承发展善作善成”专项课题投标书活页</w:t>
      </w:r>
    </w:p>
    <w:p w14:paraId="7855A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科研与国际交流处</w:t>
      </w:r>
    </w:p>
    <w:p w14:paraId="42EBA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2024年10月28日</w:t>
      </w:r>
    </w:p>
    <w:p w14:paraId="623D607F">
      <w:pPr>
        <w:rPr>
          <w:rFonts w:hint="eastAsia"/>
        </w:rPr>
      </w:pPr>
      <w:r>
        <w:rPr>
          <w:rFonts w:hint="eastAsia"/>
        </w:rPr>
        <w:t xml:space="preserve"> </w:t>
      </w:r>
    </w:p>
    <w:p w14:paraId="741F58A6">
      <w:pPr>
        <w:rPr>
          <w:rFonts w:hint="eastAsia"/>
        </w:rPr>
      </w:pPr>
    </w:p>
    <w:p w14:paraId="49D0210C">
      <w:r>
        <w:rPr>
          <w:rFonts w:hint="eastAsia"/>
        </w:rPr>
        <w:t xml:space="preserve">　　                                  </w:t>
      </w: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xMWM1ODdlNjc2ODUzNjhlMzNjZjc1YjIwZmZhNWQifQ=="/>
  </w:docVars>
  <w:rsids>
    <w:rsidRoot w:val="3FFE171B"/>
    <w:rsid w:val="3FFE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2024-10-28T08:14:00Z</dcterms:created>
  <dc:creator>蜜蜜思语</dc:creator>
  <cp:lastModifiedBy>蜜蜜思语</cp:lastModifiedBy>
  <dcterms:modified xsi:type="dcterms:W3CDTF">2024-10-28T08:53:46Z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C784D72E74B2471BB0BFF1F923C69E4E_11</vt:lpwstr>
  </property>
</Properties>
</file>